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4C1A" w:rsidRPr="00C54C1A" w:rsidRDefault="00C54C1A" w:rsidP="00C54C1A">
      <w:pPr>
        <w:spacing w:after="144" w:line="242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</w:pPr>
      <w:r w:rsidRPr="00C54C1A">
        <w:rPr>
          <w:rFonts w:ascii="Arial" w:eastAsia="Times New Roman" w:hAnsi="Arial" w:cs="Arial"/>
          <w:b/>
          <w:bCs/>
          <w:color w:val="333333"/>
          <w:kern w:val="36"/>
          <w:sz w:val="24"/>
          <w:szCs w:val="24"/>
          <w:lang w:eastAsia="ru-RU"/>
        </w:rPr>
        <w:t>Указ Президента РФ от 07.05.2018 N 204 (ред. от 19.07.2018) "О национальных целях и стратегических задачах развития Российской Федерации на период до 2024 года"</w:t>
      </w:r>
    </w:p>
    <w:p w:rsidR="00C54C1A" w:rsidRPr="00C54C1A" w:rsidRDefault="00C54C1A" w:rsidP="00C54C1A">
      <w:pPr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bookmarkStart w:id="0" w:name="dst100001"/>
      <w:bookmarkStart w:id="1" w:name="dst100002"/>
      <w:bookmarkEnd w:id="0"/>
      <w:bookmarkEnd w:id="1"/>
    </w:p>
    <w:p w:rsidR="00C54C1A" w:rsidRPr="00C54C1A" w:rsidRDefault="00C54C1A" w:rsidP="00C54C1A">
      <w:pPr>
        <w:spacing w:after="0" w:line="290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54C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C54C1A" w:rsidRPr="00C54C1A" w:rsidRDefault="00C54C1A" w:rsidP="00C54C1A">
      <w:pPr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2" w:name="dst100003"/>
      <w:bookmarkEnd w:id="2"/>
      <w:r w:rsidRPr="00C54C1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УКАЗ</w:t>
      </w:r>
    </w:p>
    <w:p w:rsidR="00C54C1A" w:rsidRPr="00C54C1A" w:rsidRDefault="00C54C1A" w:rsidP="00C54C1A">
      <w:pPr>
        <w:spacing w:after="0" w:line="360" w:lineRule="atLeast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C54C1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C54C1A" w:rsidRPr="00C54C1A" w:rsidRDefault="00C54C1A" w:rsidP="00C54C1A">
      <w:pPr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3" w:name="dst100004"/>
      <w:bookmarkEnd w:id="3"/>
      <w:r w:rsidRPr="00C54C1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ПРЕЗИДЕНТА РОССИЙСКОЙ ФЕДЕРАЦИИ</w:t>
      </w:r>
    </w:p>
    <w:p w:rsidR="00C54C1A" w:rsidRPr="00C54C1A" w:rsidRDefault="00C54C1A" w:rsidP="00C54C1A">
      <w:pPr>
        <w:spacing w:after="0" w:line="360" w:lineRule="atLeast"/>
        <w:jc w:val="both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C54C1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 </w:t>
      </w:r>
    </w:p>
    <w:p w:rsidR="00C54C1A" w:rsidRPr="00C54C1A" w:rsidRDefault="00C54C1A" w:rsidP="00C54C1A">
      <w:pPr>
        <w:spacing w:after="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bookmarkStart w:id="4" w:name="dst100005"/>
      <w:bookmarkEnd w:id="4"/>
      <w:r w:rsidRPr="00C54C1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О НАЦИОНАЛЬНЫХ ЦЕЛЯХ И СТРАТЕГИЧЕСКИХ ЗАДАЧАХ</w:t>
      </w:r>
    </w:p>
    <w:p w:rsidR="00C54C1A" w:rsidRPr="00C54C1A" w:rsidRDefault="00C54C1A" w:rsidP="00C54C1A">
      <w:pPr>
        <w:spacing w:after="150" w:line="360" w:lineRule="atLeast"/>
        <w:jc w:val="center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C54C1A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РАЗВИТИЯ РОССИЙСКОЙ ФЕДЕРАЦИИ НА ПЕРИОД ДО 2024 ГОДА</w:t>
      </w:r>
    </w:p>
    <w:p w:rsidR="00C54C1A" w:rsidRPr="00C54C1A" w:rsidRDefault="00C54C1A" w:rsidP="00C54C1A">
      <w:pPr>
        <w:spacing w:after="0" w:line="290" w:lineRule="atLeast"/>
        <w:jc w:val="both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C54C1A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5" w:name="dst100006"/>
      <w:bookmarkEnd w:id="5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целях осуществления прорывного научно-технологического и социально-экономического развития Российской Федерации, увеличения численности населения страны, повышения уровня жизни граждан, создания комфортных условий для их проживания, а также условий и возможностей для самореализации и раскрытия таланта каждого человека постановляю: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6" w:name="dst100007"/>
      <w:bookmarkEnd w:id="6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 Правительству Российской Федерации обеспечить достижение следующих национальных целей развития Российской Федерации на период до 2024 года: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7" w:name="dst100008"/>
      <w:bookmarkEnd w:id="7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обеспечение устойчивого естественного роста численности населения Российской Федерации;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8" w:name="dst100009"/>
      <w:bookmarkEnd w:id="8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повышение ожидаемой продолжительности жизни до 78 лет (к 2030 году - до 80 лет);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9" w:name="dst100010"/>
      <w:bookmarkEnd w:id="9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обеспечение устойчивого роста реальных доходов граждан, а также роста уровня пенсионного обеспечения выше уровня инфляции;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0" w:name="dst100011"/>
      <w:bookmarkEnd w:id="10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снижение в два раза уровня бедности в Российской Федерации;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1" w:name="dst100012"/>
      <w:bookmarkEnd w:id="11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улучшение жилищных условий не менее 5 млн. семей ежегодно;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2" w:name="dst100013"/>
      <w:bookmarkEnd w:id="12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ускорение технологического развития Российской Федерации, увеличение количества организаций, осуществляющих технологические инновации, до 50 процентов от их общего числа;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3" w:name="dst100014"/>
      <w:bookmarkEnd w:id="13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обеспечение ускоренного внедрения цифровых технологий в экономике и социальной сфере;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4" w:name="dst100015"/>
      <w:bookmarkEnd w:id="14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вхождение Российской Федерации в число пяти крупнейших экономик мира, обеспечение темпов экономического роста выше мировых при сохранении макроэкономической стабильности, в том числе инфляции на уровне, не превышающем 4 процентов;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5" w:name="dst100016"/>
      <w:bookmarkEnd w:id="15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) создание в базовых отраслях экономики, прежде всего в обрабатывающей промышленности и агропромышленном комплексе, высокопроизводительного </w:t>
      </w:r>
      <w:proofErr w:type="spell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экспортно</w:t>
      </w:r>
      <w:proofErr w:type="spell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ориентированного сектора, развивающегося на основе современных технологий и обеспеченного высококвалифицированными кадрами.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6" w:name="dst100017"/>
      <w:bookmarkEnd w:id="16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Правительству Российской Федерации: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7" w:name="dst100018"/>
      <w:bookmarkEnd w:id="17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утвердить до 1 октября 2018 г. </w:t>
      </w:r>
      <w:hyperlink r:id="rId4" w:anchor="dst100002" w:history="1">
        <w:r w:rsidRPr="00C54C1A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Основные направления</w:t>
        </w:r>
      </w:hyperlink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деятельности Правительства Российской Федерации на период до 2024 года и </w:t>
      </w:r>
      <w:hyperlink r:id="rId5" w:anchor="dst0" w:history="1">
        <w:r w:rsidRPr="00C54C1A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прогноз</w:t>
        </w:r>
      </w:hyperlink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социально-экономического развития Российской Федерации на период до 2024 года, предусмотрев механизмы и ресурсное обеспечение достижения национальных целей, определенных </w:t>
      </w:r>
      <w:hyperlink r:id="rId6" w:anchor="dst100007" w:history="1">
        <w:r w:rsidRPr="00C54C1A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пунктом 1</w:t>
        </w:r>
      </w:hyperlink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настоящего Указа;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8" w:name="dst100219"/>
      <w:bookmarkEnd w:id="18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в соответствии с национальными целями, определенными </w:t>
      </w:r>
      <w:hyperlink r:id="rId7" w:anchor="dst100007" w:history="1">
        <w:r w:rsidRPr="00C54C1A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пунктом 1</w:t>
        </w:r>
      </w:hyperlink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настоящего Указа, разработать (скорректировать) совместно с органами государственной власти субъектов Российской Федерации и представить до 1 октября 2018 г. для рассмотрения на заседании Совета при Президенте Российской Федерации по стратегическому развитию и национальным проектам национальные </w:t>
      </w:r>
      <w:hyperlink r:id="rId8" w:anchor="dst100001" w:history="1">
        <w:r w:rsidRPr="00C54C1A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проекты</w:t>
        </w:r>
      </w:hyperlink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(программы) по следующим направлениям:</w:t>
      </w:r>
    </w:p>
    <w:p w:rsidR="00C54C1A" w:rsidRPr="00C54C1A" w:rsidRDefault="00C54C1A" w:rsidP="00C54C1A">
      <w:pPr>
        <w:spacing w:after="0" w:line="29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ред. Указа Президента РФ от 19.07.2018 N 444)</w:t>
      </w:r>
    </w:p>
    <w:p w:rsidR="00C54C1A" w:rsidRPr="00C54C1A" w:rsidRDefault="00C54C1A" w:rsidP="00C54C1A">
      <w:pPr>
        <w:spacing w:after="0" w:line="36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(</w:t>
      </w:r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см.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текст в предыдущей редакции)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9" w:name="dst100020"/>
      <w:bookmarkEnd w:id="19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демография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0" w:name="dst100021"/>
      <w:bookmarkEnd w:id="20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здравоохранение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1" w:name="dst100022"/>
      <w:bookmarkEnd w:id="21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образование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2" w:name="dst100023"/>
      <w:bookmarkEnd w:id="22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жилье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городская среда;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3" w:name="dst100024"/>
      <w:bookmarkEnd w:id="23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экология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4" w:name="dst100025"/>
      <w:bookmarkEnd w:id="24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безопасные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качественные автомобильные дороги;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5" w:name="dst100026"/>
      <w:bookmarkEnd w:id="25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производительность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труда и поддержка занятости;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6" w:name="dst100027"/>
      <w:bookmarkEnd w:id="26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наука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7" w:name="dst100028"/>
      <w:bookmarkEnd w:id="27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цифровая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экономика;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8" w:name="dst100029"/>
      <w:bookmarkEnd w:id="28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культура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9" w:name="dst100030"/>
      <w:bookmarkEnd w:id="29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малое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среднее предпринимательство и поддержка индивидуальной предпринимательской инициативы;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0" w:name="dst100031"/>
      <w:bookmarkEnd w:id="30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международная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кооперация и экспорт.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1" w:name="dst100032"/>
      <w:bookmarkEnd w:id="31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 Правительству Российской Федерации при разработке национальной программы в сфере демографического развития исходить из того, что в 2024 году необходимо обеспечить: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2" w:name="dst100033"/>
      <w:bookmarkEnd w:id="32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достижение следующих целей и целевых показателей: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3" w:name="dst100034"/>
      <w:bookmarkEnd w:id="33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увеличение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ожидаемой продолжительности здоровой жизни до 67 лет;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4" w:name="dst100035"/>
      <w:bookmarkEnd w:id="34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увеличение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суммарного коэффициента рождаемости до 1,7;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5" w:name="dst100036"/>
      <w:bookmarkEnd w:id="35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увеличение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доли граждан, ведущих здоровый образ жизни, а также увеличение до 55 процентов доли граждан, систематически занимающихся физической культурой и спортом;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6" w:name="dst100037"/>
      <w:bookmarkEnd w:id="36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решение следующих задач: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7" w:name="dst100038"/>
      <w:bookmarkEnd w:id="37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внедрение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механизма финансовой поддержки семей при рождении детей;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8" w:name="dst100039"/>
      <w:bookmarkEnd w:id="38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условий для осуществления трудовой деятельности женщин, имеющих детей, включая достижение 100-процентной доступности (к 2021 году) дошкольного образования для детей в возрасте до трех лет;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39" w:name="dst100040"/>
      <w:bookmarkEnd w:id="39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разработка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реализация программы системной поддержки и повышения качества жизни граждан старшего поколения;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40" w:name="dst100041"/>
      <w:bookmarkEnd w:id="40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системы мотивации граждан к здоровому образу жизни, включая здоровое питание и отказ от вредных привычек;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41" w:name="dst100042"/>
      <w:bookmarkEnd w:id="41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резерва.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42" w:name="dst100043"/>
      <w:bookmarkEnd w:id="42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 Правительству Российской Федерации при разработке национального проекта в сфере здравоохранения исходить из того, что в 2024 году необходимо обеспечить: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43" w:name="dst100044"/>
      <w:bookmarkEnd w:id="43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достижение следующих целей и целевых показателей: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44" w:name="dst100045"/>
      <w:bookmarkEnd w:id="44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снижение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показателей смертности населения трудоспособного возраста (до 350 случаев на 100 тыс. населения), смертности от болезней системы кровообращения (до 450 случаев на 100 тыс. населения), смертности от новообразований, в том числе от злокачественных (до 185 случаев на 100 тыс. населения), младенческой смертности (до 4,5 случая на 1 тыс. родившихся детей);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45" w:name="dst100046"/>
      <w:bookmarkEnd w:id="45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ликвидация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кадрового дефицита в медицинских организациях, оказывающих первичную медико-санитарную помощь;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46" w:name="dst100047"/>
      <w:bookmarkEnd w:id="46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охвата всех граждан профилактическими медицинскими осмотрами не реже одного раза в год;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47" w:name="dst100048"/>
      <w:bookmarkEnd w:id="47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оптимальной доступности для населения (в том числе для жителей населенных пунктов, расположенных в отдаленных местностях) медицинских организаций, оказывающих первичную медико-санитарную помощь;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48" w:name="dst100049"/>
      <w:bookmarkEnd w:id="48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оптимизация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работы медицинских организаций, оказывающих первичную медико-санитарную помощь, сокращение времени ожидания в очереди при обращении граждан в указанные медицинские организации, упрощение процедуры записи на прием к врачу;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49" w:name="dst100050"/>
      <w:bookmarkEnd w:id="49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увеличение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объема экспорта медицинских услуг не менее чем в четыре раза по сравнению с 2017 годом (до 1 млрд. долларов США в год);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50" w:name="dst100051"/>
      <w:bookmarkEnd w:id="50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решение следующих задач: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51" w:name="dst100052"/>
      <w:bookmarkEnd w:id="51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завершение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формирования сети медицинских организаций первичного звена здравоохранения с использованием в сфере здравоохранения геоинформационной системы с </w:t>
      </w:r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учетом необходимости строительства врачебных амбулаторий, фельдшерских и фельдшерско-акушерских пунктов в населенных пунктах с численностью населения от 100 человек до 2 тыс. человек, а также с учетом использования мобильных медицинских комплексов в населенных пунктах с численностью населения менее 100 человек;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52" w:name="dst100053"/>
      <w:bookmarkEnd w:id="52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завершение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формирования сети национальных медицинских исследовательских центров;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53" w:name="dst100054"/>
      <w:bookmarkEnd w:id="53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механизмов взаимодействия медицинских организаций на основе единой государственной информационной системы в сфере здравоохранения;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54" w:name="dst100055"/>
      <w:bookmarkEnd w:id="54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внедрение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инновационных медицинских технологий, включая систему ранней диагностики и дистанционный мониторинг состояния здоровья пациентов;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55" w:name="dst100056"/>
      <w:bookmarkEnd w:id="55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медицинских организаций системы здравоохранения квалифицированными кадрами, включая внедрение системы непрерывного образования медицинских работников, в том числе с использованием дистанционных образовательных технологий;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56" w:name="dst100057"/>
      <w:bookmarkEnd w:id="56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внедрение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клинических рекомендаций и протоколов лечения и их использование в целях формирования тарифов на оплату медицинской помощи;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57" w:name="dst100058"/>
      <w:bookmarkEnd w:id="57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разработка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реализация программ борьбы с онкологическими заболеваниями, сердечно-сосудистыми заболеваниями, развития детского здравоохранения, включая создание современной инфраструктуры оказания медицинской помощи детям;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58" w:name="dst100059"/>
      <w:bookmarkEnd w:id="58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системы защиты прав пациентов;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59" w:name="dst100060"/>
      <w:bookmarkEnd w:id="59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механизма экспорта медицинских услуг.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60" w:name="dst100061"/>
      <w:bookmarkEnd w:id="60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 Правительству Российской Федерации при разработке национального проекта в сфере образования исходить из того, что в 2024 году необходимо обеспечить: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61" w:name="dst100062"/>
      <w:bookmarkEnd w:id="61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достижение следующих целей и целевых показателей: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62" w:name="dst100063"/>
      <w:bookmarkEnd w:id="62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глобальной конкурентоспособности российского образования, вхождение Российской Федерации в число 10 ведущих стран мира по качеству общего образования;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63" w:name="dst100064"/>
      <w:bookmarkEnd w:id="63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воспитание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64" w:name="dst100065"/>
      <w:bookmarkEnd w:id="64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решение следующих задач: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65" w:name="dst100066"/>
      <w:bookmarkEnd w:id="65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внедрение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 уровнях основного общего и среднего общего образования новых методов обучения и воспитания, образовательных технологий, обеспечивающих освоение обучающимися базовых навыков и умений, повышение их мотивации к обучению и вовлеченности в образовательный процесс, а также обновление содержания и совершенствование методов обучения предметной области "Технология";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66" w:name="dst100067"/>
      <w:bookmarkEnd w:id="66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эффективной системы выявления, поддержки и развития способностей и талантов у детей и молодежи, основанной на принципах справедливости, всеобщности и направленной на самоопределение и профессиональную ориентацию всех обучающихся;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67" w:name="dst100068"/>
      <w:bookmarkEnd w:id="67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условий для раннего развития детей в возрасте до трех лет, реализация программы психолого-педагогической, методической и консультативной помощи родителям детей, получающих дошкольное образование в семье;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68" w:name="dst100069"/>
      <w:bookmarkEnd w:id="68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современной и безопасной цифровой образовательной среды, обеспечивающей высокое качество и доступность образования всех видов и уровней;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69" w:name="dst100070"/>
      <w:bookmarkEnd w:id="69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внедрение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национальной системы профессионального роста педагогических работников, охватывающей не менее 50 процентов учителей общеобразовательных организаций;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70" w:name="dst100071"/>
      <w:bookmarkEnd w:id="70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модернизация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профессионального образования, в том числе посредством внедрения адаптивных, практико-ориентированных и гибких образовательных программ;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71" w:name="dst100072"/>
      <w:bookmarkEnd w:id="71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системы непрерывного обновления работающими гражданами своих профессиональных знаний и приобретения ими новых профессиональных навыков, включая овладение компетенциями в области цифровой экономики всеми желающими;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72" w:name="dst100073"/>
      <w:bookmarkEnd w:id="72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системы профессиональных конкурсов в целях предоставления гражданам возможностей для профессионального и карьерного роста;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73" w:name="dst100074"/>
      <w:bookmarkEnd w:id="73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условий для развития наставничества, поддержки общественных инициатив и проектов, в том числе в сфере добровольчества (</w:t>
      </w:r>
      <w:proofErr w:type="spell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волонтерства</w:t>
      </w:r>
      <w:proofErr w:type="spell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74" w:name="dst100075"/>
      <w:bookmarkEnd w:id="74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увеличение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менее чем в два раза количества иностранных граждан, обучающихся в образовательных организациях высшего образования и научных организациях, а также реализация комплекса мер по трудоустройству лучших из них в Российской Федерации.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75" w:name="dst100076"/>
      <w:bookmarkEnd w:id="75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 Правительству Российской Федерации при разработке национального проекта в сфере жилья и городской среды исходить из того, что в 2024 году необходимо обеспечить: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76" w:name="dst100077"/>
      <w:bookmarkEnd w:id="76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достижение следующих целей и целевых показателей: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77" w:name="dst100078"/>
      <w:bookmarkEnd w:id="77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доступным жильем семей со средним достатком, в том числе создание возможностей для приобретения (строительства) ими жилья с использованием ипотечного кредита, ставка по которому должна быть менее 8 процентов;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78" w:name="dst100079"/>
      <w:bookmarkEnd w:id="78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увеличение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объема жилищного строительства не менее чем до 120 млн. квадратных метров в год;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79" w:name="dst100080"/>
      <w:bookmarkEnd w:id="79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кардинальное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повышение комфортности городской среды, повышение индекса качества городской среды на 30 процентов, сокращение в соответствии с этим индексом количества городов с неблагоприятной средой в два раза;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80" w:name="dst100081"/>
      <w:bookmarkEnd w:id="80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механизма прямого участия граждан в формировании комфортной городской среды, увеличение доли граждан, принимающих участие в решении вопросов развития городской среды, до 30 процентов;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81" w:name="dst100082"/>
      <w:bookmarkEnd w:id="81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устойчивого сокращения непригодного для проживания жилищного фонда;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82" w:name="dst100083"/>
      <w:bookmarkEnd w:id="82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решение следующих задач: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83" w:name="dst100084"/>
      <w:bookmarkEnd w:id="83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механизмов финансирования жилищного строительства, в том числе посредством развития рынка ипотечных ценных бумаг и поэтапного перехода от привлечения денежных средств для долевого строительства многоквартирных домов и иных объектов недвижимости к другим формам финансирования жилищного строительства, обеспечивающим защиту прав граждан и снижение рисков для них;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84" w:name="dst100085"/>
      <w:bookmarkEnd w:id="84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модернизация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строительной отрасли и повышение качества индустриального жилищного строительства, в том числе посредством установления ограничений на использование устаревших технологий и стимулирования внедрения передовых технологий в проектировании и строительстве, совершенствование механизмов государственной поддержки строительства стандартного жилья;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85" w:name="dst100086"/>
      <w:bookmarkEnd w:id="85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снижение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административной нагрузки на застройщиков, совершенствование нормативно-правовой базы и порядка регулирования деятельности в сфере жилищного строительства;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86" w:name="dst100087"/>
      <w:bookmarkEnd w:id="86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эффективного использования земель в целях массового жилищного строительства при условии сохранения и развития зеленого фонда и территорий, на которых располагаются природные объекты, имеющие экологическое, историко-культурное, рекреационное, оздоровительное и иное ценное значение;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87" w:name="dst100088"/>
      <w:bookmarkEnd w:id="87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механизмов развития комфортной городской среды, комплексного развития городов и других населенных пунктов с учетом индекса качества городской среды;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88" w:name="dst100089"/>
      <w:bookmarkEnd w:id="88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механизмов переселения граждан из непригодного для проживания жилищного фонда, обеспечивающих соблюдение их жилищных прав, установленных законодательством Российской Федерации.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89" w:name="dst100090"/>
      <w:bookmarkEnd w:id="89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7. Правительству Российской Федерации при разработке национального проекта в сфере экологии исходить из того, что в 2024 году необходимо обеспечить: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90" w:name="dst100091"/>
      <w:bookmarkEnd w:id="90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достижение следующих целей и целевых показателей: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91" w:name="dst100092"/>
      <w:bookmarkEnd w:id="91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эффективное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обращение с отходами производства и потребления, включая ликвидацию всех выявленных на 1 января 2018 г. несанкционированных свалок в границах городов;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92" w:name="dst100093"/>
      <w:bookmarkEnd w:id="92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кардинальное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снижение уровня загрязнения атмосферного воздуха в крупных промышленных центрах, в том числе уменьшение не менее чем на 20 процентов совокупного объема выбросов загрязняющих веществ в атмосферный воздух в наиболее загрязненных городах;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93" w:name="dst100094"/>
      <w:bookmarkEnd w:id="93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качества питьевой воды для населения, в том числе для жителей населенных пунктов, не оборудованных современными системами централизованного водоснабжения;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94" w:name="dst100095"/>
      <w:bookmarkEnd w:id="94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экологическое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оздоровление водных объектов, включая реку Волгу, и сохранение уникальных водных систем, включая озера Байкал и Телецкое;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95" w:name="dst100096"/>
      <w:bookmarkEnd w:id="95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сохранение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биологического разнообразия, в том числе посредством создания не менее 24 новых особо охраняемых природных территорий;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96" w:name="dst100097"/>
      <w:bookmarkEnd w:id="96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решение следующих задач:</w:t>
      </w:r>
    </w:p>
    <w:p w:rsidR="00C54C1A" w:rsidRPr="00C54C1A" w:rsidRDefault="00C54C1A" w:rsidP="00C54C1A">
      <w:pPr>
        <w:shd w:val="clear" w:color="auto" w:fill="F4F3F8"/>
        <w:spacing w:after="0" w:line="36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КонсультантПлюс</w:t>
      </w:r>
      <w:proofErr w:type="spell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примечание.</w:t>
      </w:r>
    </w:p>
    <w:p w:rsidR="00C54C1A" w:rsidRPr="00C54C1A" w:rsidRDefault="00C54C1A" w:rsidP="00C54C1A">
      <w:pPr>
        <w:shd w:val="clear" w:color="auto" w:fill="F4F3F8"/>
        <w:spacing w:after="96" w:line="362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hyperlink r:id="rId9" w:anchor="dst100007" w:history="1">
        <w:r w:rsidRPr="00C54C1A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Указом</w:t>
        </w:r>
      </w:hyperlink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Президента РФ от 14.01.2019 N 8 создана публично-правовая компания по формированию комплексной системы обращения с ТКО "Российский экологический оператор".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97" w:name="dst100098"/>
      <w:bookmarkEnd w:id="97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комплексной системы обращения с твердыми коммунальными отходами, включая ликвидацию свалок и рекультивацию территорий, на которых они размещены, создание условий для вторичной переработки всех запрещенных к захоронению отходов производства и потребления;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98" w:name="dst100099"/>
      <w:bookmarkEnd w:id="98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эффективное функционирование во всех субъектах Российской Федерации системы общественного контроля, направленной на выявление и ликвидацию несанкционированных свалок;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99" w:name="dst100100"/>
      <w:bookmarkEnd w:id="99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современной инфраструктуры, обеспечивающей безопасное обращение с отходами I и II классов опасности, и ликвидация наиболее опасных объектов накопленного экологического вреда;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00" w:name="dst100101"/>
      <w:bookmarkEnd w:id="100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реализация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комплексных планов мероприятий по снижению выбросов загрязняющих веществ в атмосферный воздух в крупных промышленных центрах, включая города Братск, Красноярск, Липецк, Магнитогорск, Медногорск, Нижний Тагил, Новокузнецк, Норильск, Омск, Челябинск, Череповец и Читу, с учетом сводных расчетов допустимого в этих городах негативного воздействия на окружающую среду;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01" w:name="dst100102"/>
      <w:bookmarkEnd w:id="101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всеми объектами, оказывающими значительное негативное воздействие на окружающую среду, системы экологического регулирования, основанной на использовании наилучших доступных технологий;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02" w:name="dst100103"/>
      <w:bookmarkEnd w:id="102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повышение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качества питьевой воды посредством модернизации систем водоснабжения с использованием перспективных технологий водоподготовки, включая технологии, разработанные организациями оборонно-промышленного комплекса;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03" w:name="dst100104"/>
      <w:bookmarkEnd w:id="103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экологическая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реабилитация водных объектов, в том числе реализация проекта, направленного на сокращение в три раза доли загрязненных сточных вод, отводимых в реку Волгу, устойчивое функционирование водохозяйственного комплекса Нижней Волги и сохранение экосистемы Волго-</w:t>
      </w:r>
      <w:proofErr w:type="spell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Ахтубинской</w:t>
      </w:r>
      <w:proofErr w:type="spell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поймы;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04" w:name="dst100105"/>
      <w:bookmarkEnd w:id="104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уникальных водных объектов, в том числе реализация проекта по сохранению озера Байкал, а также мероприятий по очистке от мусора берегов и прибрежной акватории озер Байкал, Телецкое, Ладожское, Онежское и рек Волги, Дона, Оби, Енисея, Амура, Урала, Печоры;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05" w:name="dst100106"/>
      <w:bookmarkEnd w:id="105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сохранение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биологического разнообразия, включая увеличение площади особо охраняемых природных территорий на 5 млн. гектаров, </w:t>
      </w:r>
      <w:proofErr w:type="spell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реинтродукцию</w:t>
      </w:r>
      <w:proofErr w:type="spell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редких видов животных, создание инфраструктуры для экологического туризма в национальных парках, а также сохранение лесов, в том числе на основе их воспроизводства на всех участках вырубленных и погибших лесных насаждений.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06" w:name="dst100107"/>
      <w:bookmarkEnd w:id="106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8. Правительству Российской Федерации при разработке национального проекта по созданию безопасных и качественных автомобильных дорог исходить из того, что в 2024 году необходимо обеспечить: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07" w:name="dst100108"/>
      <w:bookmarkEnd w:id="107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достижение следующих целей и целевых показателей: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08" w:name="dst100109"/>
      <w:bookmarkEnd w:id="108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увеличение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доли автомобильных дорог регионального значения, соответствующих нормативным требованиям, в их общей протяженности не менее чем до 50 процентов (относительно их протяженности по состоянию на 31 декабря 2017 г.), а также утверждение органами государственной власти субъектов Российской Федерации таких нормативов исходя из установленных на федеральном уровне требований безопасности автомобильных дорог;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09" w:name="dst100110"/>
      <w:bookmarkEnd w:id="109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снижение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доли автомобильных дорог федерального и регионального значения, работающих в режиме перегрузки, в их общей протяженности на 10 процентов по сравнению с 2017 годом;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10" w:name="dst100111"/>
      <w:bookmarkEnd w:id="110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снижение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количества мест концентрации дорожно-транспортных происшествий (аварийно-опасных участков) на дорожной сети в два раза по сравнению с 2017 годом;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11" w:name="dst100112"/>
      <w:bookmarkEnd w:id="111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снижение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смертности в результате дорожно-транспортных происшествий в 3,5 раза по сравнению с 2017 годом - до уровня, не превышающего четырех человек на 100 тыс. населения (к 2030 году - стремление к нулевому уровню смертности);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12" w:name="dst100113"/>
      <w:bookmarkEnd w:id="112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решение следующих задач: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13" w:name="dst100114"/>
      <w:bookmarkEnd w:id="113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доведение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крупнейших городских агломерациях доли автомобильных дорог, соответствующих нормативным требованиям, в их общей протяженности до 85 процентов;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14" w:name="dst100115"/>
      <w:bookmarkEnd w:id="114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применение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новых механизмов развития и эксплуатации дорожной сети, включая использование инфраструктурной ипотеки, контрактов жизненного цикла, наилучших технологий и материалов;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15" w:name="dst100116"/>
      <w:bookmarkEnd w:id="115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доведение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норматива зачисления налоговых доходов бюджетов субъектов Российской Федерации от акцизов на горюче-смазочные материалы до 100 процентов;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16" w:name="dst100117"/>
      <w:bookmarkEnd w:id="116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внедрение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общедоступной информационной системы контроля за формированием и использованием средств дорожных фондов всех уровней (в 2019 году);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17" w:name="dst100118"/>
      <w:bookmarkEnd w:id="117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механизмов экономического стимулирования сохранности автомобильных дорог регионального и местного значения;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18" w:name="dst100119"/>
      <w:bookmarkEnd w:id="118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внедрение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новых технических требований и стандартов обустройства автомобильных дорог, в том числе на основе цифровых технологий, направленных на устранение мест концентрации дорожно-транспортных происшествий;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19" w:name="dst100120"/>
      <w:bookmarkEnd w:id="119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внедрение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автоматизированных и роботизированных технологий организации дорожного движения и контроля за соблюдением правил дорожного движения;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20" w:name="dst100121"/>
      <w:bookmarkEnd w:id="120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усиление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ответственности водителей за нарушение правил дорожного движения, а также повышение требований к уровню их профессиональной подготовки.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21" w:name="dst100122"/>
      <w:bookmarkEnd w:id="121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9. Правительству Российской Федерации при реализации совместно с органами государственной власти субъектов Российской Федерации национальной </w:t>
      </w:r>
      <w:hyperlink r:id="rId10" w:anchor="dst0" w:history="1">
        <w:r w:rsidRPr="00C54C1A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программы</w:t>
        </w:r>
      </w:hyperlink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 сфере повышения производительности труда и поддержки занятости обеспечить в 2024 году: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22" w:name="dst100123"/>
      <w:bookmarkEnd w:id="122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достижение следующих целей и целевых показателей: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23" w:name="dst100124"/>
      <w:bookmarkEnd w:id="123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рост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производительности труда на средних и крупных предприятиях базовых </w:t>
      </w:r>
      <w:proofErr w:type="spell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несырьевых</w:t>
      </w:r>
      <w:proofErr w:type="spell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отраслей экономики не ниже 5 процентов в год;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24" w:name="dst100125"/>
      <w:bookmarkEnd w:id="124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привлечение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участию в реализации указанной национальной программы не менее 10 субъектов Российской Федерации ежегодно;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25" w:name="dst100126"/>
      <w:bookmarkEnd w:id="125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вовлечение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реализацию указанной национальной программы не менее 10 тыс. средних и крупных предприятий базовых </w:t>
      </w:r>
      <w:proofErr w:type="spell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несырьевых</w:t>
      </w:r>
      <w:proofErr w:type="spell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отраслей экономики;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26" w:name="dst100127"/>
      <w:bookmarkEnd w:id="126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решение следующих задач: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27" w:name="dst100128"/>
      <w:bookmarkEnd w:id="127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стимулирование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внедрения передовых управленческих, организационных и технологических решений для повышения производительности труда и модернизации основных фондов, в том числе посредством предоставления налоговых преференций;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28" w:name="dst100129"/>
      <w:bookmarkEnd w:id="128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сокращение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нормативно-правовых и административных ограничений, препятствующих росту производительности труда, а также замещение устаревших и непроизводительных рабочих мест;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29" w:name="dst100130"/>
      <w:bookmarkEnd w:id="129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системы методической и организационной поддержки повышения производительности труда на предприятиях;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30" w:name="dst100131"/>
      <w:bookmarkEnd w:id="130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системы подготовки кадров, направленной на обучение основам повышения производительности труда, в том числе посредством использования цифровых технологий и платформенных решений.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31" w:name="dst100132"/>
      <w:bookmarkEnd w:id="131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10. Правительству Российской Федерации при разработке национального проекта в сфере науки исходить из того, что в 2024 году необходимо обеспечить: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32" w:name="dst100133"/>
      <w:bookmarkEnd w:id="132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достижение следующих целей и целевых показателей: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33" w:name="dst100134"/>
      <w:bookmarkEnd w:id="133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присутствия Российской Федерации в числе пяти ведущих стран мира, осуществляющих научные исследования и разработки в областях, определяемых приоритетами научно-технологического развития;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34" w:name="dst100135"/>
      <w:bookmarkEnd w:id="134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привлекательности работы в Российской Федерации для российских и зарубежных ведущих ученых и молодых перспективных исследователей;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35" w:name="dst100136"/>
      <w:bookmarkEnd w:id="135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опережающее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увеличение внутренних затрат на научные исследования и разработки за счет всех источников по сравнению с ростом валового внутреннего продукта страны;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36" w:name="dst100137"/>
      <w:bookmarkEnd w:id="136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решение следующих задач: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37" w:name="dst100138"/>
      <w:bookmarkEnd w:id="137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передовой инфраструктуры научных исследований и разработок, инновационной деятельности, включая создание и развитие сети уникальных научных установок класса "</w:t>
      </w:r>
      <w:proofErr w:type="spell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мегасайенс</w:t>
      </w:r>
      <w:proofErr w:type="spell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38" w:name="dst100139"/>
      <w:bookmarkEnd w:id="138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обновление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менее 50 процентов приборной базы ведущих организаций, выполняющих научные исследования и разработки;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39" w:name="dst100140"/>
      <w:bookmarkEnd w:id="139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научных центров мирового уровня, включая сеть международных математических центров и центров геномных исследований;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40" w:name="dst100141"/>
      <w:bookmarkEnd w:id="140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 менее 15 научно-образовательных центров мирового уровня на основе интеграции университетов и научных организаций и их кооперации с организациями, действующими в реальном секторе экономики;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41" w:name="dst100142"/>
      <w:bookmarkEnd w:id="141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целостной системы подготовки и профессионального роста научных и научно-педагогических кадров, обеспечивающей условия для осуществления молодыми учеными научных исследований и разработок, создания научных лабораторий и конкурентоспособных коллективов.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42" w:name="dst100143"/>
      <w:bookmarkEnd w:id="142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11. Правительству Российской Федерации при реализации совместно с органами государственной власти субъектов Российской Федерации национальной программы "Цифровая экономика Российской Федерации" обеспечить в 2024 году: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43" w:name="dst100144"/>
      <w:bookmarkEnd w:id="143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достижение следующих целей и целевых показателей: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44" w:name="dst100145"/>
      <w:bookmarkEnd w:id="144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увеличение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внутренних затрат на развитие цифровой экономики за счет всех источников (по доле в валовом внутреннем продукте страны) не менее чем в три раза по сравнению с 2017 годом;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45" w:name="dst100146"/>
      <w:bookmarkEnd w:id="145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устойчивой и безопасной информационно-телекоммуникационной инфраструктуры высокоскоростной передачи, обработки и хранения больших объемов данных, доступной для всех организаций и домохозяйств;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46" w:name="dst100147"/>
      <w:bookmarkEnd w:id="146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преимущественно отечественного программного обеспечения государственными органами, органами местного самоуправления и организациями;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47" w:name="dst100148"/>
      <w:bookmarkEnd w:id="147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решение следующих задач: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48" w:name="dst100149"/>
      <w:bookmarkEnd w:id="148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системы правового регулирования цифровой экономики, основанного на гибком подходе в каждой сфере, а также внедрение гражданского оборота на базе цифровых технологий;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49" w:name="dst100150"/>
      <w:bookmarkEnd w:id="149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глобальной конкурентоспособной инфраструктуры передачи, обработки и хранения данных преимущественно на основе отечественных разработок;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50" w:name="dst100151"/>
      <w:bookmarkEnd w:id="150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подготовки высококвалифицированных кадров для цифровой экономики;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51" w:name="dst100152"/>
      <w:bookmarkEnd w:id="151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информационной безопасности на основе отечественных разработок при передаче, обработке и хранении данных, гарантирующей защиту интересов личности, бизнеса и государства;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52" w:name="dst100153"/>
      <w:bookmarkEnd w:id="152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сквозных цифровых технологий преимущественно на основе отечественных разработок;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53" w:name="dst100154"/>
      <w:bookmarkEnd w:id="153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внедрение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цифровых технологий и платформенных решений в сферах государственного управления и оказания государственных услуг, в том числе в интересах населения и субъектов малого и среднего предпринимательства, включая индивидуальных предпринимателей;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54" w:name="dst100155"/>
      <w:bookmarkEnd w:id="154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преобразование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приоритетных отраслей экономики и социальной сферы, включая здравоохранение, образование, промышленность, сельское хозяйство, строительство, городское хозяйство, транспортную и энергетическую инфраструктуру, финансовые услуги, посредством внедрения цифровых технологий и платформенных решений;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55" w:name="dst100156"/>
      <w:bookmarkEnd w:id="155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комплексной системы финансирования проектов по разработке и (или) внедрению цифровых технологий и платформенных решений, включающей в себя венчурное финансирование и иные институты развития;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56" w:name="dst100157"/>
      <w:bookmarkEnd w:id="156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разработка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внедрение национального механизма осуществления согласованной политики государств - членов Евразийского экономического союза при реализации планов в области развития цифровой экономики.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57" w:name="dst100158"/>
      <w:bookmarkEnd w:id="157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12. Правительству Российской Федерации при разработке национальной программы в сфере культуры обратить особое внимание на необходимость: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58" w:name="dst100159"/>
      <w:bookmarkEnd w:id="158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укрепления российской гражданской идентичности на основе духовно-нравственных и культурных ценностей народов Российской Федерации;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59" w:name="dst100160"/>
      <w:bookmarkEnd w:id="159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создания (реконструкции) культурно-образовательных и музейных комплексов, включающих в себя концертные залы, театральные, музыкальные, хореографические и другие творческие школы, а также выставочные пространства;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60" w:name="dst100161"/>
      <w:bookmarkEnd w:id="160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обеспечения детских музыкальных, художественных, хореографических школ, училищ и школ искусств необходимыми инструментами, оборудованием и материалами;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61" w:name="dst100162"/>
      <w:bookmarkEnd w:id="161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продвижения талантливой молодежи в сфере музыкального искусства, в том числе посредством создания национального молодежного симфонического оркестра;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62" w:name="dst100163"/>
      <w:bookmarkEnd w:id="162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создания (реконструкции) культурно-досуговых организаций клубного типа на территориях сельских поселений, развития муниципальных библиотек;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63" w:name="dst100164"/>
      <w:bookmarkEnd w:id="163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создания виртуальных концертных залов не менее чем в 500 городах Российской Федерации;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64" w:name="dst100165"/>
      <w:bookmarkEnd w:id="164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ж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создания условий для показа национальных кинофильмов в кинозалах, расположенных в населенных пунктах с численностью населения до 500 тыс. человек;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65" w:name="dst100166"/>
      <w:bookmarkEnd w:id="165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подготовки кадров для организаций культуры;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66" w:name="dst100167"/>
      <w:bookmarkEnd w:id="166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модернизации региональных и муниципальных театров юного зрителя и кукольных театров путем их реконструкции и капитального ремонта;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67" w:name="dst100168"/>
      <w:bookmarkEnd w:id="167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поддержки добровольческих движений, в том числе в сфере сохранения культурного наследия народов Российской Федерации.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68" w:name="dst100169"/>
      <w:bookmarkEnd w:id="168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13. Правительству Российской Федерации при реализации совместно с органами государственной власти субъектов Российской Федерации национального проекта в сфере развития малого и среднего предпринимательства и поддержки индивидуальной предпринимательской инициативы обеспечить в 2024 году: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69" w:name="dst100170"/>
      <w:bookmarkEnd w:id="169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достижение следующего целевого показателя: увеличение численности занятых в сфере малого и среднего предпринимательства, включая индивидуальных предпринимателей, до 25 млн. человек;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70" w:name="dst100171"/>
      <w:bookmarkEnd w:id="170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решение следующих задач: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71" w:name="dst100172"/>
      <w:bookmarkEnd w:id="171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улучшение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условий ведения предпринимательской деятельности, включая упрощение налоговой отчетности для предпринимателей, применяющих контрольно-кассовую технику;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72" w:name="dst100173"/>
      <w:bookmarkEnd w:id="172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цифровой платформы, ориентированной на поддержку производственной и сбытовой деятельности субъектов малого и среднего предпринимательства, включая индивидуальных предпринимателей;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73" w:name="dst100174"/>
      <w:bookmarkEnd w:id="173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совершенствование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системы закупок, осуществляемых крупнейшими заказчиками у субъектов малого и среднего предпринимательства, включая индивидуальных предпринимателей;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74" w:name="dst100175"/>
      <w:bookmarkEnd w:id="174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упрощение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доступа к льготному финансированию, в том числе ежегодное увеличение объема льготных кредитов, выдаваемых субъектам малого и среднего предпринимательства, включая индивидуальных предпринимателей;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75" w:name="dst100176"/>
      <w:bookmarkEnd w:id="175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системы акселерации субъектов малого и среднего предпринимательства, включая индивидуальных предпринимателей, в том числе инфраструктуры и сервисов поддержки, а также их ускоренное развитие в таких областях, как благоустройство городской среды, научно-технологическая сфера, социальная сфера и экология;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76" w:name="dst100177"/>
      <w:bookmarkEnd w:id="176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модернизация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системы поддержки экспортеров, являющихся субъектами малого и среднего предпринимательства, включая индивидуальных предпринимателей, увеличение доли таких экспортеров в общем объеме </w:t>
      </w:r>
      <w:proofErr w:type="spell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несырьевого</w:t>
      </w:r>
      <w:proofErr w:type="spell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экспорта не менее чем до 10 процентов;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77" w:name="dst100178"/>
      <w:bookmarkEnd w:id="177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системы поддержки фермеров и развитие сельской кооперации;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78" w:name="dst100179"/>
      <w:bookmarkEnd w:id="178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обеспечение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благоприятных условий осуществления деятельности </w:t>
      </w:r>
      <w:proofErr w:type="spell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самозанятыми</w:t>
      </w:r>
      <w:proofErr w:type="spell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гражданами посредством создания нового режима налогообложения, предусматривающего передачу информации о продажах в налоговые органы Российской Федерации в автоматическом </w:t>
      </w:r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режиме, освобождение от обязанности представлять отчетность, а также уплату единого платежа с выручки, включающего в себя страховые взносы.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79" w:name="dst100180"/>
      <w:bookmarkEnd w:id="179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14. Правительству Российской Федерации при разработке национальной программы в сфере развития международной кооперации и экспорта исходить из того, что в 2024 году необходимо обеспечить: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80" w:name="dst100181"/>
      <w:bookmarkEnd w:id="180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достижение следующих целей и целевых показателей: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81" w:name="dst100182"/>
      <w:bookmarkEnd w:id="181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обрабатывающей промышленности, сельском хозяйстве, сфере услуг глобальных конкурентоспособных </w:t>
      </w:r>
      <w:proofErr w:type="spell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несырьевых</w:t>
      </w:r>
      <w:proofErr w:type="spell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секторов, общая доля экспорта товаров (работ, услуг) которых составит не менее 20 процентов валового внутреннего продукта страны;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82" w:name="dst100183"/>
      <w:bookmarkEnd w:id="182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достижение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объема экспорта (в стоимостном выражении) </w:t>
      </w:r>
      <w:proofErr w:type="spell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несырьевых</w:t>
      </w:r>
      <w:proofErr w:type="spell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неэнергетических товаров в размере 250 млрд. долларов США в год, в том числе продукции машиностроения - 50 млрд. долларов США в год и продукции агропромышленного комплекса - 45 млрд. долларов США в год, а также объема экспорта оказываемых услуг в размере 100 млрд. долларов США в год;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83" w:name="dst100184"/>
      <w:bookmarkEnd w:id="183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эффективной системы разделения труда и производственной кооперации в рамках Евразийского экономического союза в целях увеличения объема торговли между государствами - членами Союза не менее чем в полтора раза и обеспечения роста объема накопленных взаимных инвестиций в полтора раза;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84" w:name="dst100185"/>
      <w:bookmarkEnd w:id="184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решение следующих задач: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85" w:name="dst100186"/>
      <w:bookmarkEnd w:id="185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ориентация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промышленной, аграрной и торговой политики, включая применяемые механизмы государственной поддержки, на достижение международной конкурентоспособности российских товаров (работ, услуг) в целях обеспечения их присутствия на внешних рынках;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86" w:name="dst100187"/>
      <w:bookmarkEnd w:id="186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сокращение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административных процедур и барьеров в сфере международной торговли, включая отмену избыточных требований при лицензировании экспорта и осуществлении валютного контроля, организация (к 2021 году) взаимодействия субъектов международной торговли с контролирующими органами по принципу "одного окна";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87" w:name="dst100188"/>
      <w:bookmarkEnd w:id="187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завершение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создания гибкой линейки финансовых инструментов поддержки экспорта (к 2021 году), включая расширенное </w:t>
      </w:r>
      <w:proofErr w:type="spell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предэкспортное</w:t>
      </w:r>
      <w:proofErr w:type="spell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экспортное и акционерное финансирование, лизинг и долгосрочные меры поддержки;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88" w:name="dst100189"/>
      <w:bookmarkEnd w:id="188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устранение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логистических ограничений при экспорте товаров с использованием железнодорожного, автомобильного и морского транспорта, а также строительство (модернизация) пунктов пропуска через государственную границу Российской Федерации;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89" w:name="dst100190"/>
      <w:bookmarkEnd w:id="189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единой системы институтов продвижения экспорта, предусматривающей модернизацию торговых представительств Российской Федерации за рубежом;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90" w:name="dst100191"/>
      <w:bookmarkEnd w:id="190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завершение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формирования в рамках Евразийского экономического союза общих рынков то</w:t>
      </w:r>
      <w:bookmarkStart w:id="191" w:name="_GoBack"/>
      <w:bookmarkEnd w:id="191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варов, услуг, капитала и рабочей силы, включая окончательное устранение барьеров, ограничений и отмену изъятий в экономическом сотрудничестве, при одновременном активном использовании механизмов совместной проектной деятельности.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92" w:name="dst100192"/>
      <w:bookmarkEnd w:id="192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15. Правительству Российской Федерации на основе стратегии пространственного развития Российской Федерации разработать с участием органов государственной власти субъектов Российской Федерации и до 1 октября 2018 г. утвердить комплексный </w:t>
      </w:r>
      <w:hyperlink r:id="rId11" w:anchor="dst100016" w:history="1">
        <w:r w:rsidRPr="00C54C1A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план</w:t>
        </w:r>
      </w:hyperlink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модернизации и расширения магистральной инфраструктуры, предусматривающий обеспечение в 2024 году: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93" w:name="dst100193"/>
      <w:bookmarkEnd w:id="193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развития транспортных коридоров "Запад - Восток" и "Север - Юг" для перевозки грузов, в том числе за счет: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94" w:name="dst100194"/>
      <w:bookmarkEnd w:id="194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строительства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модернизации российских участков автомобильных дорог, относящихся к международному транспортному маршруту "Европа - Западный Китай";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95" w:name="dst100195"/>
      <w:bookmarkEnd w:id="195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увеличения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мощностей морских портов Российской Федерации, включая порты Дальневосточного, Северо-Западного, Волго-Каспийского и Азово-Черноморского бассейнов;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96" w:name="dst100196"/>
      <w:bookmarkEnd w:id="196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развития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Северного морского пути и увеличения грузопотока по нему до 80 млн. тонн;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97" w:name="dst100197"/>
      <w:bookmarkEnd w:id="197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сокращения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времени перевозки контейнеров железнодорожным транспортом, в частности с Дальнего Востока до западной границы Российской Федерации до семи дней, и увеличения объема транзитных перевозок контейнеров железнодорожным транспортом в четыре раза;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98" w:name="dst100198"/>
      <w:bookmarkEnd w:id="198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формирования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узловых грузовых </w:t>
      </w:r>
      <w:proofErr w:type="spell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мультимодальных</w:t>
      </w:r>
      <w:proofErr w:type="spell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транспортно-логистических центров;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199" w:name="dst100199"/>
      <w:bookmarkEnd w:id="199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увеличения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пропускной способности Байкало-Амурской и Транссибирской железнодорожных магистралей в полтора раза, до 180 млн. тонн;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00" w:name="dst100200"/>
      <w:bookmarkEnd w:id="200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увеличения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пропускной способности железнодорожных подходов к морским портам Азово-Черноморского бассейна;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01" w:name="dst100201"/>
      <w:bookmarkEnd w:id="201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повышения уровня экономической связанности территории Российской Федерации посредством расширения и модернизации железнодорожной, авиационной, автодорожной, морской и речной инфраструктуры, в том числе за счет: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02" w:name="dst100202"/>
      <w:bookmarkEnd w:id="202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поэтапного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развития транспортных коммуникаций между административными центрами субъектов Российской Федерации и другими городами - центрами экономического роста, включая ликвидацию инфраструктурных ограничений на имеющих перспективы развития территориях, прилегающих к таким транспортным коммуникациям;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03" w:name="dst100203"/>
      <w:bookmarkEnd w:id="203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реконструкции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инфраструктуры региональных аэропортов и расширения сети межрегиональных регулярных пассажирских авиационных маршрутов, минуя Москву, до 50 процентов от общего количества внутренних регулярных авиационных маршрутов;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04" w:name="dst100204"/>
      <w:bookmarkEnd w:id="204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создания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основы для развития скоростного и высокоскоростного железнодорожного сообщения между крупными городами;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05" w:name="dst100205"/>
      <w:bookmarkEnd w:id="205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увеличения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пропускной способности внутренних водных путей;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06" w:name="dst100206"/>
      <w:bookmarkEnd w:id="206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гарантированного обеспечения доступной электроэнергией, в том числе за счет: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07" w:name="dst100207"/>
      <w:bookmarkEnd w:id="207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электрификации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транспортных коридоров "Запад - Восток" и "Север - Юг", включая Байкало-Амурскую и Транссибирскую железнодорожные магистрали, во взаимосвязи с развитием транспортной инфраструктуры;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08" w:name="dst100208"/>
      <w:bookmarkEnd w:id="208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развития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централизованных энергосистем, включая модернизацию генерирующих мощностей тепловых, атомных и гидроэлектростанций в соответствии с потребностями социально-экономического развития;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09" w:name="dst100209"/>
      <w:bookmarkEnd w:id="209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устойчивого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энергоснабжения потребителей на территориях субъектов Российской Федерации, прежде всего Республики Крым, г. Севастополя, Калининградской области, а также субъектов Российской Федерации, входящих в состав Дальневосточного федерального округа;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10" w:name="dst100210"/>
      <w:bookmarkEnd w:id="210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развития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распределенной генерации, в том числе на основе возобновляемых источников энергии, в первую очередь в удаленных и изолированных </w:t>
      </w:r>
      <w:proofErr w:type="spell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энергорайонах</w:t>
      </w:r>
      <w:proofErr w:type="spell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11" w:name="dst100211"/>
      <w:bookmarkEnd w:id="211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внедрения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интеллектуальных систем управления электросетевым хозяйством на базе цифровых технологий.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12" w:name="dst100212"/>
      <w:bookmarkEnd w:id="212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16. Правительству Российской Федерации: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13" w:name="dst100213"/>
      <w:bookmarkEnd w:id="213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ежегодно при формировании проекта федерального бюджета на очередной финансовый год и на плановый период предусматривать в приоритетном порядке бюджетные ассигнования федерального бюджета на реализацию национальных проектов (программ), названных в </w:t>
      </w:r>
      <w:hyperlink r:id="rId12" w:anchor="dst100019" w:history="1">
        <w:r w:rsidRPr="00C54C1A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подпункте "б" пункта 2</w:t>
        </w:r>
      </w:hyperlink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настоящего Указа;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14" w:name="dst100214"/>
      <w:bookmarkEnd w:id="214"/>
      <w:proofErr w:type="gramStart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</w:t>
      </w:r>
      <w:proofErr w:type="gramEnd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 обеспечить направление в приоритетном порядке дополнительных доходов федерального бюджета, образующихся в ходе его исполнения, на реализацию национальных проектов (программ), названных в </w:t>
      </w:r>
      <w:hyperlink r:id="rId13" w:anchor="dst100019" w:history="1">
        <w:r w:rsidRPr="00C54C1A">
          <w:rPr>
            <w:rFonts w:ascii="Times New Roman" w:eastAsia="Times New Roman" w:hAnsi="Times New Roman" w:cs="Times New Roman"/>
            <w:color w:val="666699"/>
            <w:sz w:val="24"/>
            <w:szCs w:val="24"/>
            <w:u w:val="single"/>
            <w:lang w:eastAsia="ru-RU"/>
          </w:rPr>
          <w:t>подпункте "б" пункта 2</w:t>
        </w:r>
      </w:hyperlink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настоящего Указа.</w:t>
      </w:r>
    </w:p>
    <w:p w:rsidR="00C54C1A" w:rsidRPr="00C54C1A" w:rsidRDefault="00C54C1A" w:rsidP="00C54C1A">
      <w:pPr>
        <w:spacing w:after="0" w:line="290" w:lineRule="atLeast"/>
        <w:ind w:firstLine="54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15" w:name="dst100215"/>
      <w:bookmarkEnd w:id="215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17. Настоящий Указ вступает в силу со дня его официального опубликования.</w:t>
      </w:r>
    </w:p>
    <w:p w:rsidR="00C54C1A" w:rsidRPr="00C54C1A" w:rsidRDefault="00C54C1A" w:rsidP="00C54C1A">
      <w:pPr>
        <w:spacing w:after="0" w:line="290" w:lineRule="atLeast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C54C1A" w:rsidRPr="00C54C1A" w:rsidRDefault="00C54C1A" w:rsidP="00C54C1A">
      <w:pPr>
        <w:spacing w:after="0" w:line="362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16" w:name="dst100216"/>
      <w:bookmarkEnd w:id="216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Президент</w:t>
      </w:r>
    </w:p>
    <w:p w:rsidR="00C54C1A" w:rsidRPr="00C54C1A" w:rsidRDefault="00C54C1A" w:rsidP="00C54C1A">
      <w:pPr>
        <w:spacing w:after="0" w:line="362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Российской Федерации</w:t>
      </w:r>
    </w:p>
    <w:p w:rsidR="00C54C1A" w:rsidRPr="00C54C1A" w:rsidRDefault="00C54C1A" w:rsidP="00C54C1A">
      <w:pPr>
        <w:spacing w:after="0" w:line="362" w:lineRule="atLeast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В.ПУТИН</w:t>
      </w:r>
    </w:p>
    <w:p w:rsidR="00C54C1A" w:rsidRPr="00C54C1A" w:rsidRDefault="00C54C1A" w:rsidP="00C54C1A">
      <w:pPr>
        <w:spacing w:after="0" w:line="36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217" w:name="dst100217"/>
      <w:bookmarkEnd w:id="217"/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Москва, Кремль</w:t>
      </w:r>
    </w:p>
    <w:p w:rsidR="00C54C1A" w:rsidRPr="00C54C1A" w:rsidRDefault="00C54C1A" w:rsidP="00C54C1A">
      <w:pPr>
        <w:spacing w:after="0" w:line="36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7 мая 2018 года</w:t>
      </w:r>
    </w:p>
    <w:p w:rsidR="00C54C1A" w:rsidRPr="00C54C1A" w:rsidRDefault="00C54C1A" w:rsidP="00C54C1A">
      <w:pPr>
        <w:spacing w:after="0" w:line="362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54C1A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N 204</w:t>
      </w:r>
    </w:p>
    <w:p w:rsidR="00C50DBA" w:rsidRPr="00C54C1A" w:rsidRDefault="00C50DBA">
      <w:pPr>
        <w:rPr>
          <w:rFonts w:ascii="Times New Roman" w:hAnsi="Times New Roman" w:cs="Times New Roman"/>
          <w:sz w:val="24"/>
          <w:szCs w:val="24"/>
        </w:rPr>
      </w:pPr>
    </w:p>
    <w:sectPr w:rsidR="00C50DBA" w:rsidRPr="00C54C1A" w:rsidSect="00C54C1A">
      <w:pgSz w:w="11906" w:h="16838"/>
      <w:pgMar w:top="709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C12"/>
    <w:rsid w:val="000F2C12"/>
    <w:rsid w:val="00C50DBA"/>
    <w:rsid w:val="00C54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D422F1-5AD5-4AE8-AC79-113707CAD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44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018">
          <w:marLeft w:val="0"/>
          <w:marRight w:val="0"/>
          <w:marTop w:val="150"/>
          <w:marBottom w:val="75"/>
          <w:divBdr>
            <w:top w:val="none" w:sz="0" w:space="0" w:color="auto"/>
            <w:left w:val="single" w:sz="48" w:space="0" w:color="FFFFFF"/>
            <w:bottom w:val="none" w:sz="0" w:space="0" w:color="auto"/>
            <w:right w:val="none" w:sz="0" w:space="0" w:color="auto"/>
          </w:divBdr>
          <w:divsChild>
            <w:div w:id="124715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4206">
                  <w:marLeft w:val="0"/>
                  <w:marRight w:val="0"/>
                  <w:marTop w:val="7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456946">
          <w:marLeft w:val="0"/>
          <w:marRight w:val="0"/>
          <w:marTop w:val="0"/>
          <w:marBottom w:val="285"/>
          <w:divBdr>
            <w:top w:val="single" w:sz="3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77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90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0784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38275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530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875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81692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7933542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07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41649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92115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62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455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22040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41546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28916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7006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1065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299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696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2141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1328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4943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33036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46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431696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26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3454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835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04541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61161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248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2519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623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07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1949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83029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58579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0504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9269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096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46435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7402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184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652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51151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48213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31571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6667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0488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4276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8933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2304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905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3173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07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93585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02118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204379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5199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7178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6067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81523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367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1750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9118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95610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2906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03361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89459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8436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54839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549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0476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805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92857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0232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35016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26150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4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8854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55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081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84306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29568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40738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98415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4738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480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4027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28771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46775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4045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60782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85338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8774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2535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55558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0123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89852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80775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7104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7769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799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9066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172164">
                  <w:marLeft w:val="0"/>
                  <w:marRight w:val="0"/>
                  <w:marTop w:val="120"/>
                  <w:marBottom w:val="96"/>
                  <w:divBdr>
                    <w:top w:val="none" w:sz="0" w:space="0" w:color="auto"/>
                    <w:left w:val="single" w:sz="24" w:space="0" w:color="CED3F1"/>
                    <w:bottom w:val="none" w:sz="0" w:space="0" w:color="auto"/>
                    <w:right w:val="none" w:sz="0" w:space="0" w:color="auto"/>
                  </w:divBdr>
                </w:div>
                <w:div w:id="63710811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340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9997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1413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52971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26165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3531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98284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080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07671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8620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1514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2055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86566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2017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52436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3323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83306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601153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223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4613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716502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4106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541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675894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88826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8649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348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713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2918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11339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14537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7179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01875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8108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4105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3682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7462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3430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13134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508668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7442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88394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450255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83376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8913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4337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90829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3120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04014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559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85019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982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8058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84077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5978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223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97986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12859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070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32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56668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8084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52676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04280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4959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264392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46354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74902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11858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6303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52719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901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77290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53203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86575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1674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36813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41633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88261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9039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9179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575147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3482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295610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52825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5619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641272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094365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9653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33271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4332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4084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40307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8383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6957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0350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54773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583433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32924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569960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574145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02429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5590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23911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108668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29880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9349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87884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9414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969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083477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5534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57294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961944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992533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088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33293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739351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310251/f2893a9c968cb1dcf13b6fda269afdfd4b7747d6/" TargetMode="External"/><Relationship Id="rId13" Type="http://schemas.openxmlformats.org/officeDocument/2006/relationships/hyperlink" Target="http://www.consultant.ru/document/cons_doc_LAW_303020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consultant.ru/document/cons_doc_LAW_303020/" TargetMode="External"/><Relationship Id="rId12" Type="http://schemas.openxmlformats.org/officeDocument/2006/relationships/hyperlink" Target="http://www.consultant.ru/document/cons_doc_LAW_303020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nsultant.ru/document/cons_doc_LAW_303020/" TargetMode="External"/><Relationship Id="rId11" Type="http://schemas.openxmlformats.org/officeDocument/2006/relationships/hyperlink" Target="http://www.consultant.ru/document/cons_doc_LAW_308743/61b8af183e92a9ab41340816eb5f68191d6a760a/" TargetMode="External"/><Relationship Id="rId5" Type="http://schemas.openxmlformats.org/officeDocument/2006/relationships/hyperlink" Target="http://www.consultant.ru/document/cons_doc_LAW_308166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://www.consultant.ru/document/cons_doc_LAW_278556/" TargetMode="External"/><Relationship Id="rId4" Type="http://schemas.openxmlformats.org/officeDocument/2006/relationships/hyperlink" Target="http://www.consultant.ru/document/cons_doc_LAW_307872/" TargetMode="External"/><Relationship Id="rId9" Type="http://schemas.openxmlformats.org/officeDocument/2006/relationships/hyperlink" Target="http://www.consultant.ru/document/cons_doc_LAW_315858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5284</Words>
  <Characters>30124</Characters>
  <Application>Microsoft Office Word</Application>
  <DocSecurity>0</DocSecurity>
  <Lines>251</Lines>
  <Paragraphs>70</Paragraphs>
  <ScaleCrop>false</ScaleCrop>
  <Company/>
  <LinksUpToDate>false</LinksUpToDate>
  <CharactersWithSpaces>35338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Карина</dc:creator>
  <cp:keywords/>
  <dc:description/>
  <cp:lastModifiedBy>Карина</cp:lastModifiedBy>
  <cp:revision>2</cp:revision>
  <dcterms:created xsi:type="dcterms:W3CDTF">2019-02-25T17:14:00Z</dcterms:created>
  <dcterms:modified xsi:type="dcterms:W3CDTF">2019-02-25T17:15:00Z</dcterms:modified>
</cp:coreProperties>
</file>